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7358" w:rsidRPr="00147358" w:rsidRDefault="00147358" w:rsidP="0014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147358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Pubblicato il 27/02/2020</w:t>
      </w:r>
    </w:p>
    <w:p w:rsidR="00147358" w:rsidRPr="00147358" w:rsidRDefault="00147358" w:rsidP="00147358">
      <w:pPr>
        <w:spacing w:before="100" w:beforeAutospacing="1" w:after="100" w:afterAutospacing="1" w:line="0" w:lineRule="atLeast"/>
        <w:jc w:val="right"/>
        <w:rPr>
          <w:rFonts w:ascii="Times Nordic" w:eastAsia="Times New Roman" w:hAnsi="Times Nordic" w:cs="Times New Roman"/>
          <w:b/>
          <w:bCs/>
          <w:lang w:eastAsia="it-IT"/>
        </w:rPr>
      </w:pPr>
      <w:r w:rsidRPr="00147358">
        <w:rPr>
          <w:rFonts w:ascii="Times Nordic" w:eastAsia="Times New Roman" w:hAnsi="Times Nordic" w:cs="Times New Roman"/>
          <w:b/>
          <w:bCs/>
          <w:lang w:eastAsia="it-IT"/>
        </w:rPr>
        <w:t>N. 00056/2020 REG.PROV.CAU.</w:t>
      </w:r>
    </w:p>
    <w:p w:rsidR="00147358" w:rsidRPr="00147358" w:rsidRDefault="00147358" w:rsidP="00147358">
      <w:pPr>
        <w:spacing w:before="100" w:beforeAutospacing="1" w:after="100" w:afterAutospacing="1" w:line="0" w:lineRule="atLeast"/>
        <w:jc w:val="right"/>
        <w:rPr>
          <w:rFonts w:ascii="Times Nordic" w:eastAsia="Times New Roman" w:hAnsi="Times Nordic" w:cs="Times New Roman"/>
          <w:b/>
          <w:bCs/>
          <w:lang w:eastAsia="it-IT"/>
        </w:rPr>
      </w:pPr>
      <w:r w:rsidRPr="00147358">
        <w:rPr>
          <w:rFonts w:ascii="Times Nordic" w:eastAsia="Times New Roman" w:hAnsi="Times Nordic" w:cs="Times New Roman"/>
          <w:b/>
          <w:bCs/>
          <w:lang w:eastAsia="it-IT"/>
        </w:rPr>
        <w:t>N. 00118/2020 REG.RIC.</w:t>
      </w:r>
    </w:p>
    <w:p w:rsidR="00147358" w:rsidRPr="00147358" w:rsidRDefault="00147358" w:rsidP="0014735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pacing w:val="150"/>
          <w:sz w:val="24"/>
          <w:szCs w:val="24"/>
          <w:lang w:eastAsia="it-IT"/>
        </w:rPr>
      </w:pPr>
      <w:r w:rsidRPr="00147358">
        <w:rPr>
          <w:rFonts w:ascii="Garamond" w:eastAsia="Times New Roman" w:hAnsi="Garamond" w:cs="Times New Roman"/>
          <w:b/>
          <w:bCs/>
          <w:noProof/>
          <w:color w:val="000000"/>
          <w:spacing w:val="150"/>
          <w:sz w:val="24"/>
          <w:szCs w:val="24"/>
          <w:lang w:eastAsia="it-IT"/>
        </w:rPr>
        <w:drawing>
          <wp:inline distT="0" distB="0" distL="0" distR="0">
            <wp:extent cx="727710" cy="825500"/>
            <wp:effectExtent l="0" t="0" r="0" b="0"/>
            <wp:docPr id="1" name="Immagine 1" descr="http://172.30.11.201:16200/cs/st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72.30.11.201:16200/cs/stemm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58" w:rsidRPr="00147358" w:rsidRDefault="00147358" w:rsidP="0014735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pacing w:val="150"/>
          <w:sz w:val="24"/>
          <w:szCs w:val="24"/>
          <w:lang w:eastAsia="it-IT"/>
        </w:rPr>
      </w:pPr>
      <w:r w:rsidRPr="00147358">
        <w:rPr>
          <w:rFonts w:ascii="Garamond" w:eastAsia="Times New Roman" w:hAnsi="Garamond" w:cs="Times New Roman"/>
          <w:b/>
          <w:bCs/>
          <w:color w:val="000000"/>
          <w:spacing w:val="150"/>
          <w:sz w:val="24"/>
          <w:szCs w:val="24"/>
          <w:lang w:eastAsia="it-IT"/>
        </w:rPr>
        <w:t>REPUBBLICA ITALIANA</w:t>
      </w:r>
    </w:p>
    <w:p w:rsidR="00147358" w:rsidRPr="00147358" w:rsidRDefault="00147358" w:rsidP="0014735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147358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Tribunale Amministrativo Regionale per le Marche</w:t>
      </w:r>
    </w:p>
    <w:p w:rsidR="00147358" w:rsidRPr="00147358" w:rsidRDefault="00147358" w:rsidP="0014735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147358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(Sezione Prima)</w:t>
      </w:r>
    </w:p>
    <w:p w:rsidR="00147358" w:rsidRPr="00147358" w:rsidRDefault="00147358" w:rsidP="0014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47358" w:rsidRPr="00147358" w:rsidRDefault="00147358" w:rsidP="0014735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147358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Il Presidente</w:t>
      </w:r>
    </w:p>
    <w:p w:rsidR="00147358" w:rsidRPr="00147358" w:rsidRDefault="00147358" w:rsidP="00147358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ha pronunciato il presente</w:t>
      </w:r>
    </w:p>
    <w:p w:rsidR="00147358" w:rsidRPr="00147358" w:rsidRDefault="00147358" w:rsidP="0014735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147358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DECRETO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sul ricorso numero di registro generale 118 del 2020, proposto da 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br/>
        <w:t xml:space="preserve">Presidenza del Consiglio dei Ministri, in persona del legale rappresentante pro tempore, rappresentato e difeso dall'Avvocatura Generale dello Stato, domiciliataria presso l’Avvocatura Distrettuale di Ancona in Ancona, piazza Cavour, 29; </w:t>
      </w:r>
    </w:p>
    <w:p w:rsidR="00147358" w:rsidRPr="00147358" w:rsidRDefault="00147358" w:rsidP="00147358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eastAsia="it-IT"/>
        </w:rPr>
        <w:t>contro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Regione Marche, Presidente della Giunta Regionale non costituiti in giudizio; </w:t>
      </w:r>
    </w:p>
    <w:p w:rsidR="00147358" w:rsidRPr="00147358" w:rsidRDefault="00147358" w:rsidP="00147358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b/>
          <w:bCs/>
          <w:i/>
          <w:iCs/>
          <w:sz w:val="30"/>
          <w:szCs w:val="30"/>
          <w:lang w:eastAsia="it-IT"/>
        </w:rPr>
        <w:t>per l'annullamento</w:t>
      </w:r>
    </w:p>
    <w:p w:rsidR="00147358" w:rsidRPr="00147358" w:rsidRDefault="00147358" w:rsidP="00147358">
      <w:pPr>
        <w:spacing w:after="0" w:line="540" w:lineRule="atLeast"/>
        <w:jc w:val="center"/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previa sospensione dell'efficacia,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dell’ordinanza n. 1 del 25 febbraio 2020, recante «misure in materia di contenimento e gestione dell’emergenza epidemiologica da COVID-19» con la quale è stata disposto che a partire dalle ore 00.00 di mercoledì 26 febbraio 2020 fino alle ore 24,00 del 4 marzo 2020, sul territorio della Regione Marche è disposta: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a) la sospensione di tutte le manifestazioni pubbliche, di qualsiasi natura;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lastRenderedPageBreak/>
        <w:t>b) la sospensione dei servizi educativi dell’infanzia e delle scuole di ogni ordine e grado, nonché della frequenza delle attività scolastiche, universitarie (lezioni, esami di profitto e sedute di lauree) e di alta formazione professionale e dei percorsi di istruzione e formazione professionale, salvo le attività formative svolte a distanza e quelle relative alle professioni sanitarie ivi compresi i tirocini;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c) la sospensione di ogni viaggio di istruzione sia sul territorio nazionale sia estero;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d) la sospensione dell’apertura al pubblico dei musei e degli altri istituti e luoghi della cultura e delle biblioteche;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e) la sospensione dei concorsi pubblici fatti salvi quelli relativi alle professioni sanitarie per le quali dovranno essere garantite le opportune misure igieniche.</w:t>
      </w:r>
    </w:p>
    <w:p w:rsidR="00147358" w:rsidRPr="00147358" w:rsidRDefault="00147358" w:rsidP="0014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Visti il ricorso e i relativi allegati;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Vista l'istanza di misure cautelari monocratiche proposta dal ricorrente, ai sensi dell'art. 56 cod. proc. amm.;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Lette le deduzioni difensive informalmente acquisite dalla Regione Marche;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Premesso che la funzione dei provvedimenti cautelari interinali di competenza del Presidente non è quella di anticipare gli effetti della tutela cautelare ordinaria, ma quella di prevenire, 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«in caso di estrema gravità ed urgenza, tale da non consentire neppure la dilazione fino alla camera di consiglio»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, il maturarsi di pregiudizi irreversibili a fronte dei quali risulterebbe inutile la concessione di un ordinario provvedimento cautelare collegiale nella camera di consiglio a ciò destinata;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Considerato che il D.L. 23.2.2020 n. 6 - al fine di contrastare la diffusione del 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coronavirus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 - prevede, al ricorrere di tassativi presupposti, l’assunzione di misure pesantemente incidenti su diversi diritti e libertà costituzionali;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Rilevato che la ricorrente Presidenza del Consiglio dei Ministri lamenta che la Regione Marche avrebbe emesso l’impugnata ordinanza in assenza del presupposto 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lastRenderedPageBreak/>
        <w:t xml:space="preserve">(individuato dall’art. 1, comma 1, del D.L.n. 6 del 2020) che nella zona risulti 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“positiva almeno una persona”;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Considerato che la legittimità del provvedimento amministrativo deve essere valutata, in sede giurisdizionale, alla stregua della situazione di fatto e di diritto sussistente al momento della emissione, risultando irrilevanti le sopravvenienze, secondo il principio 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“tempus regit actum”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 (cfr. 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ex multis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: Cons. St. Sez. IV, 30.7.2019, n.5395);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Rilevato che dall’ordinanza si rileva che non sussistevano, a quel momento, casi accertati di contagio nelle Marche, evidenziando quale presupposto 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“la prossimità del territorio marchigiano con la regione Emilia Romagna in cui sono stati rilevati casi confermati di contagio da COVID- 19”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Considerato che – in questa fase di sommaria delibazione in via d’urgenza – la suddetta doglianza risulta fondata;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Ritenuto che anche l’ulteriore censura svolta dalla ricorrente, con la quale si prospetta che la Regione avrebbe erroneamente indicato, a sostegno del potere di ordinanza, la disposizione di cui all’art. 2 del D.L. n. 6 del 2020 - che prevede la possibilità per le autorità competenti di disporre misure “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ulteriori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”, al di fuori dei casi di cui all’art. 1 comma 1 (ossia anche in assenza del riscontro di almeno una persona positiva) - pare assistita dal 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fumus boni iuris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, atteso che tali misure non possono essere altrettanto invasive, sia per intensità sia per latitudine, rispetto a quelle giustificate dalla presenza di un focolaio di infezione; in altri termini, la possibilità di adottare misure “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ulteriori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” va, in via sistematica, riferita ad interventi che comportino un sacrificio minore delle libertà individuali, rispetto a quelli previsti dall’art. 1 del cit. D.L. n. 6;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Ritenuto che sussista altresì il presupposto dell’estrema gravità ed urgenza richiesto dall’art. 56 c.p.a, per concedere la tutela monocratica urgente, considerato che il provvedimento impugnato esaurisce i suoi irreversibili effetti il 4 marzo; fermo 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lastRenderedPageBreak/>
        <w:t>restando che, al mutare della situazione di fatto, consegue la possibilità, per il Governo e per la Regione, di emettere i provvedimenti consentiti dal cit. D.L. n. 6 del 2020;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Considerato che l’eventuale differente trattamento riservato dal Governo - in condizioni asseritamente eguali a quelle della Regione Marche - alla Regione Liguria, sul quale si sofferma lo scritto difensivo regionale (senza che tale circostanza risulti però evocata dal provvedimento impugnato) ha valenza politica ma non giuridica e non può comunque </w:t>
      </w:r>
      <w:r w:rsidRPr="00147358">
        <w:rPr>
          <w:rFonts w:ascii="Garamond" w:eastAsia="Times New Roman" w:hAnsi="Garamond" w:cs="Times New Roman"/>
          <w:i/>
          <w:iCs/>
          <w:sz w:val="30"/>
          <w:szCs w:val="30"/>
          <w:lang w:eastAsia="it-IT"/>
        </w:rPr>
        <w:t>ex se</w:t>
      </w: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 xml:space="preserve"> giustificare l’esercizio del potere;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Attesa l’urgenza connessa alle situazioni oggetto del provvedimento impugnato, alla rilevanza degli interessi in competizione e considerato che appare possibile una permanenza della situazione di criticità sanitaria anche oltre la data di scadenza dell’ordinanza qui impugnata, si reputa opportuno fissare per la trattazione collegiale - in deroga ai termini di cui all’art. 55 c.p.a. - la camera di consiglio del 4 marzo 2020, avendo acquisito informalmente il consenso al riguardo delle parti;</w:t>
      </w:r>
    </w:p>
    <w:p w:rsidR="00147358" w:rsidRPr="00147358" w:rsidRDefault="00147358" w:rsidP="00147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47358" w:rsidRPr="00147358" w:rsidRDefault="00147358" w:rsidP="00147358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P.Q.M.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Accoglie l’istanza cautelare e sospende gli effetti del provvedimento impugnato.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Fissa per la trattazione collegiale la camera di consiglio del 4.3.2020.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Il presente decreto sarà eseguito dall'Amministrazione ed è depositato presso la Segreteria del Tribunale che provvederà a darne comunicazione alle parti.</w:t>
      </w:r>
    </w:p>
    <w:p w:rsidR="00147358" w:rsidRPr="00147358" w:rsidRDefault="00147358" w:rsidP="00147358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t>Così deciso in Ancona il giorno 27 febbraio 2020.</w:t>
      </w:r>
    </w:p>
    <w:p w:rsidR="00147358" w:rsidRPr="00147358" w:rsidRDefault="00147358" w:rsidP="001473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735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14735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14735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1"/>
        <w:gridCol w:w="4367"/>
      </w:tblGrid>
      <w:tr w:rsidR="00147358" w:rsidRPr="00147358" w:rsidTr="00147358">
        <w:trPr>
          <w:tblCellSpacing w:w="7" w:type="dxa"/>
        </w:trPr>
        <w:tc>
          <w:tcPr>
            <w:tcW w:w="5250" w:type="dxa"/>
            <w:vAlign w:val="center"/>
            <w:hideMark/>
          </w:tcPr>
          <w:p w:rsidR="00147358" w:rsidRPr="00147358" w:rsidRDefault="00147358" w:rsidP="0014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1473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7358" w:rsidRPr="00147358" w:rsidRDefault="00147358" w:rsidP="0014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1473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Il Presidente</w:t>
            </w:r>
          </w:p>
        </w:tc>
      </w:tr>
      <w:tr w:rsidR="00147358" w:rsidRPr="00147358" w:rsidTr="00147358">
        <w:trPr>
          <w:tblCellSpacing w:w="7" w:type="dxa"/>
        </w:trPr>
        <w:tc>
          <w:tcPr>
            <w:tcW w:w="5250" w:type="dxa"/>
            <w:vAlign w:val="center"/>
            <w:hideMark/>
          </w:tcPr>
          <w:p w:rsidR="00147358" w:rsidRPr="00147358" w:rsidRDefault="00147358" w:rsidP="0014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1473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47358" w:rsidRPr="00147358" w:rsidRDefault="00147358" w:rsidP="0014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1473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Sergio Conti</w:t>
            </w:r>
          </w:p>
        </w:tc>
      </w:tr>
    </w:tbl>
    <w:p w:rsidR="00147358" w:rsidRPr="00147358" w:rsidRDefault="00147358" w:rsidP="001473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735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14735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14735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147358" w:rsidRPr="00147358" w:rsidRDefault="00147358" w:rsidP="00147358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  <w:lang w:eastAsia="it-IT"/>
        </w:rPr>
      </w:pPr>
      <w:r w:rsidRPr="00147358">
        <w:rPr>
          <w:rFonts w:ascii="Garamond" w:eastAsia="Times New Roman" w:hAnsi="Garamond" w:cs="Times New Roman"/>
          <w:sz w:val="30"/>
          <w:szCs w:val="30"/>
          <w:lang w:eastAsia="it-IT"/>
        </w:rPr>
        <w:lastRenderedPageBreak/>
        <w:t>IL SEGRETARIO</w:t>
      </w:r>
    </w:p>
    <w:p w:rsidR="006D7850" w:rsidRDefault="006D7850"/>
    <w:sectPr w:rsidR="006D7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ordic">
    <w:altName w:val="Times New Roman"/>
    <w:charset w:val="00"/>
    <w:family w:val="roman"/>
    <w:notTrueType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58"/>
    <w:rsid w:val="00147358"/>
    <w:rsid w:val="001E19A2"/>
    <w:rsid w:val="004A1F3A"/>
    <w:rsid w:val="00566DFF"/>
    <w:rsid w:val="00605003"/>
    <w:rsid w:val="006D7850"/>
    <w:rsid w:val="0097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2001A-8231-40A9-B4EA-0D31E532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egistri">
    <w:name w:val="registri"/>
    <w:basedOn w:val="Normale"/>
    <w:rsid w:val="00147358"/>
    <w:pPr>
      <w:spacing w:before="100" w:beforeAutospacing="1" w:after="100" w:afterAutospacing="1" w:line="0" w:lineRule="atLeast"/>
      <w:jc w:val="right"/>
    </w:pPr>
    <w:rPr>
      <w:rFonts w:ascii="Times Nordic" w:eastAsia="Times New Roman" w:hAnsi="Times Nordic" w:cs="Times New Roman"/>
      <w:b/>
      <w:bCs/>
      <w:lang w:eastAsia="it-IT"/>
    </w:rPr>
  </w:style>
  <w:style w:type="paragraph" w:customStyle="1" w:styleId="repubblica">
    <w:name w:val="repubblica"/>
    <w:basedOn w:val="Normale"/>
    <w:rsid w:val="0014735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pacing w:val="150"/>
      <w:sz w:val="24"/>
      <w:szCs w:val="24"/>
      <w:lang w:eastAsia="it-IT"/>
    </w:rPr>
  </w:style>
  <w:style w:type="paragraph" w:customStyle="1" w:styleId="popolo">
    <w:name w:val="popolo"/>
    <w:basedOn w:val="Normale"/>
    <w:rsid w:val="00147358"/>
    <w:pPr>
      <w:spacing w:after="0" w:line="520" w:lineRule="atLeast"/>
      <w:jc w:val="both"/>
    </w:pPr>
    <w:rPr>
      <w:rFonts w:ascii="Garamond" w:eastAsia="Times New Roman" w:hAnsi="Garamond" w:cs="Times New Roman"/>
      <w:sz w:val="30"/>
      <w:szCs w:val="30"/>
      <w:lang w:eastAsia="it-IT"/>
    </w:rPr>
  </w:style>
  <w:style w:type="paragraph" w:customStyle="1" w:styleId="sezione">
    <w:name w:val="sezione"/>
    <w:basedOn w:val="Normale"/>
    <w:rsid w:val="0014735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26"/>
      <w:szCs w:val="26"/>
      <w:lang w:eastAsia="it-IT"/>
    </w:rPr>
  </w:style>
  <w:style w:type="paragraph" w:customStyle="1" w:styleId="contro">
    <w:name w:val="contro"/>
    <w:basedOn w:val="Normale"/>
    <w:rsid w:val="00147358"/>
    <w:pPr>
      <w:spacing w:after="0" w:line="520" w:lineRule="atLeast"/>
      <w:jc w:val="center"/>
    </w:pPr>
    <w:rPr>
      <w:rFonts w:ascii="Garamond" w:eastAsia="Times New Roman" w:hAnsi="Garamond" w:cs="Times New Roman"/>
      <w:b/>
      <w:bCs/>
      <w:i/>
      <w:iCs/>
      <w:sz w:val="30"/>
      <w:szCs w:val="30"/>
      <w:lang w:eastAsia="it-IT"/>
    </w:rPr>
  </w:style>
  <w:style w:type="paragraph" w:customStyle="1" w:styleId="tabula">
    <w:name w:val="tabula"/>
    <w:basedOn w:val="Normale"/>
    <w:rsid w:val="00147358"/>
    <w:pPr>
      <w:spacing w:after="0" w:line="520" w:lineRule="atLeast"/>
      <w:ind w:firstLine="567"/>
    </w:pPr>
    <w:rPr>
      <w:rFonts w:ascii="Garamond" w:eastAsia="Times New Roman" w:hAnsi="Garamond" w:cs="Times New Roman"/>
      <w:sz w:val="30"/>
      <w:szCs w:val="30"/>
      <w:lang w:eastAsia="it-IT"/>
    </w:rPr>
  </w:style>
  <w:style w:type="paragraph" w:customStyle="1" w:styleId="fatto">
    <w:name w:val="fatto"/>
    <w:basedOn w:val="Normale"/>
    <w:rsid w:val="00147358"/>
    <w:pPr>
      <w:spacing w:after="0" w:line="540" w:lineRule="atLeast"/>
      <w:jc w:val="center"/>
    </w:pPr>
    <w:rPr>
      <w:rFonts w:ascii="Garamond" w:eastAsia="Times New Roman" w:hAnsi="Garamond" w:cs="Times New Roman"/>
      <w:sz w:val="30"/>
      <w:szCs w:val="30"/>
      <w:lang w:eastAsia="it-IT"/>
    </w:rPr>
  </w:style>
  <w:style w:type="paragraph" w:customStyle="1" w:styleId="previa">
    <w:name w:val="previa"/>
    <w:basedOn w:val="Normale"/>
    <w:rsid w:val="00147358"/>
    <w:pPr>
      <w:spacing w:after="0" w:line="540" w:lineRule="atLeast"/>
      <w:jc w:val="center"/>
    </w:pPr>
    <w:rPr>
      <w:rFonts w:ascii="Garamond" w:eastAsia="Times New Roman" w:hAnsi="Garamond" w:cs="Times New Roman"/>
      <w:i/>
      <w:iCs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03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VELTRI Giulio</dc:creator>
  <cp:keywords/>
  <dc:description/>
  <cp:lastModifiedBy>VELTRI Giulio</cp:lastModifiedBy>
  <cp:revision>2</cp:revision>
  <dcterms:created xsi:type="dcterms:W3CDTF">2020-02-27T16:05:00Z</dcterms:created>
  <dcterms:modified xsi:type="dcterms:W3CDTF">2020-02-27T16:05:00Z</dcterms:modified>
</cp:coreProperties>
</file>