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7358" w:rsidRPr="00147358" w:rsidRDefault="00147358" w:rsidP="00147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147358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Pubblicato il 27/02/2020</w:t>
      </w:r>
    </w:p>
    <w:p w:rsidR="00147358" w:rsidRPr="00147358" w:rsidRDefault="00147358" w:rsidP="00147358">
      <w:pPr>
        <w:spacing w:before="100" w:beforeAutospacing="1" w:after="100" w:afterAutospacing="1" w:line="0" w:lineRule="atLeast"/>
        <w:jc w:val="right"/>
        <w:rPr>
          <w:rFonts w:ascii="Times Nordic" w:eastAsia="Times New Roman" w:hAnsi="Times Nordic" w:cs="Times New Roman"/>
          <w:b/>
          <w:bCs/>
          <w:lang w:eastAsia="it-IT"/>
        </w:rPr>
      </w:pPr>
      <w:r w:rsidRPr="00147358">
        <w:rPr>
          <w:rFonts w:ascii="Times Nordic" w:eastAsia="Times New Roman" w:hAnsi="Times Nordic" w:cs="Times New Roman"/>
          <w:b/>
          <w:bCs/>
          <w:lang w:eastAsia="it-IT"/>
        </w:rPr>
        <w:t>N. 00056/2020 REG.PROV.CAU.</w:t>
      </w:r>
    </w:p>
    <w:p w:rsidR="00147358" w:rsidRPr="00147358" w:rsidRDefault="00147358" w:rsidP="00147358">
      <w:pPr>
        <w:spacing w:before="100" w:beforeAutospacing="1" w:after="100" w:afterAutospacing="1" w:line="0" w:lineRule="atLeast"/>
        <w:jc w:val="right"/>
        <w:rPr>
          <w:rFonts w:ascii="Times Nordic" w:eastAsia="Times New Roman" w:hAnsi="Times Nordic" w:cs="Times New Roman"/>
          <w:b/>
          <w:bCs/>
          <w:lang w:eastAsia="it-IT"/>
        </w:rPr>
      </w:pPr>
      <w:r w:rsidRPr="00147358">
        <w:rPr>
          <w:rFonts w:ascii="Times Nordic" w:eastAsia="Times New Roman" w:hAnsi="Times Nordic" w:cs="Times New Roman"/>
          <w:b/>
          <w:bCs/>
          <w:lang w:eastAsia="it-IT"/>
        </w:rPr>
        <w:t>N. 00118/2020 REG.RIC.</w:t>
      </w:r>
    </w:p>
    <w:p w:rsidR="00147358" w:rsidRPr="00147358" w:rsidRDefault="00147358" w:rsidP="0014735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pacing w:val="150"/>
          <w:sz w:val="24"/>
          <w:szCs w:val="24"/>
          <w:lang w:eastAsia="it-IT"/>
        </w:rPr>
      </w:pPr>
      <w:r w:rsidRPr="00147358">
        <w:rPr>
          <w:rFonts w:ascii="Garamond" w:eastAsia="Times New Roman" w:hAnsi="Garamond" w:cs="Times New Roman"/>
          <w:b/>
          <w:bCs/>
          <w:noProof/>
          <w:color w:val="000000"/>
          <w:spacing w:val="150"/>
          <w:sz w:val="24"/>
          <w:szCs w:val="24"/>
          <w:lang w:eastAsia="it-IT"/>
        </w:rPr>
        <w:drawing>
          <wp:inline distT="0" distB="0" distL="0" distR="0">
            <wp:extent cx="727710" cy="825500"/>
            <wp:effectExtent l="0" t="0" r="0" b="0"/>
            <wp:docPr id="1" name="Immagine 1" descr="http://172.30.11.201:16200/cs/ste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72.30.11.201:16200/cs/stemm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358" w:rsidRPr="00147358" w:rsidRDefault="00147358" w:rsidP="0014735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pacing w:val="150"/>
          <w:sz w:val="24"/>
          <w:szCs w:val="24"/>
          <w:lang w:eastAsia="it-IT"/>
        </w:rPr>
      </w:pPr>
      <w:r w:rsidRPr="00147358">
        <w:rPr>
          <w:rFonts w:ascii="Garamond" w:eastAsia="Times New Roman" w:hAnsi="Garamond" w:cs="Times New Roman"/>
          <w:b/>
          <w:bCs/>
          <w:color w:val="000000"/>
          <w:spacing w:val="150"/>
          <w:sz w:val="24"/>
          <w:szCs w:val="24"/>
          <w:lang w:eastAsia="it-IT"/>
        </w:rPr>
        <w:t>REPUBBLICA ITALIANA</w:t>
      </w:r>
    </w:p>
    <w:p w:rsidR="00147358" w:rsidRPr="00147358" w:rsidRDefault="00147358" w:rsidP="0014735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</w:pPr>
      <w:r w:rsidRPr="00147358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  <w:t>Tribunale Amministrativo Regionale per le Marche</w:t>
      </w:r>
    </w:p>
    <w:p w:rsidR="00147358" w:rsidRPr="00147358" w:rsidRDefault="00147358" w:rsidP="0014735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</w:pPr>
      <w:r w:rsidRPr="00147358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  <w:t>(Sezione Prima)</w:t>
      </w:r>
    </w:p>
    <w:p w:rsidR="00147358" w:rsidRPr="00147358" w:rsidRDefault="00147358" w:rsidP="00147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47358" w:rsidRPr="00147358" w:rsidRDefault="00147358" w:rsidP="0014735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</w:pPr>
      <w:r w:rsidRPr="00147358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  <w:t>Il Presidente</w:t>
      </w:r>
    </w:p>
    <w:p w:rsidR="00147358" w:rsidRPr="00147358" w:rsidRDefault="00147358" w:rsidP="00147358">
      <w:pPr>
        <w:spacing w:after="0" w:line="520" w:lineRule="atLeast"/>
        <w:ind w:firstLine="567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147358">
        <w:rPr>
          <w:rFonts w:ascii="Garamond" w:eastAsia="Times New Roman" w:hAnsi="Garamond" w:cs="Times New Roman"/>
          <w:sz w:val="30"/>
          <w:szCs w:val="30"/>
          <w:lang w:eastAsia="it-IT"/>
        </w:rPr>
        <w:t>ha pronunciato il presente</w:t>
      </w:r>
    </w:p>
    <w:p w:rsidR="00147358" w:rsidRPr="00147358" w:rsidRDefault="00147358" w:rsidP="0014735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</w:pPr>
      <w:r w:rsidRPr="00147358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  <w:t>DECRETO</w:t>
      </w:r>
    </w:p>
    <w:p w:rsidR="00147358" w:rsidRPr="00147358" w:rsidRDefault="00147358" w:rsidP="00147358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147358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sul ricorso numero di registro generale 118 del 2020, proposto da </w:t>
      </w:r>
      <w:r w:rsidRPr="00147358">
        <w:rPr>
          <w:rFonts w:ascii="Garamond" w:eastAsia="Times New Roman" w:hAnsi="Garamond" w:cs="Times New Roman"/>
          <w:sz w:val="30"/>
          <w:szCs w:val="30"/>
          <w:lang w:eastAsia="it-IT"/>
        </w:rPr>
        <w:br/>
        <w:t xml:space="preserve">Presidenza del Consiglio dei Ministri, in persona del legale rappresentante pro tempore, rappresentato e difeso dall'Avvocatura Generale dello Stato, domiciliataria presso l’Avvocatura Distrettuale di Ancona in Ancona, piazza Cavour, 29; </w:t>
      </w:r>
    </w:p>
    <w:p w:rsidR="00147358" w:rsidRPr="00147358" w:rsidRDefault="00147358" w:rsidP="00147358">
      <w:pPr>
        <w:spacing w:after="0" w:line="520" w:lineRule="atLeast"/>
        <w:jc w:val="center"/>
        <w:rPr>
          <w:rFonts w:ascii="Garamond" w:eastAsia="Times New Roman" w:hAnsi="Garamond" w:cs="Times New Roman"/>
          <w:b/>
          <w:bCs/>
          <w:i/>
          <w:iCs/>
          <w:sz w:val="30"/>
          <w:szCs w:val="30"/>
          <w:lang w:eastAsia="it-IT"/>
        </w:rPr>
      </w:pPr>
      <w:r w:rsidRPr="00147358">
        <w:rPr>
          <w:rFonts w:ascii="Garamond" w:eastAsia="Times New Roman" w:hAnsi="Garamond" w:cs="Times New Roman"/>
          <w:b/>
          <w:bCs/>
          <w:i/>
          <w:iCs/>
          <w:sz w:val="30"/>
          <w:szCs w:val="30"/>
          <w:lang w:eastAsia="it-IT"/>
        </w:rPr>
        <w:t>contro</w:t>
      </w:r>
    </w:p>
    <w:p w:rsidR="00147358" w:rsidRPr="00147358" w:rsidRDefault="00147358" w:rsidP="00147358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147358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Regione Marche, Presidente della Giunta Regionale non costituiti in giudizio; </w:t>
      </w:r>
    </w:p>
    <w:p w:rsidR="00147358" w:rsidRPr="00147358" w:rsidRDefault="00147358" w:rsidP="00147358">
      <w:pPr>
        <w:spacing w:after="0" w:line="520" w:lineRule="atLeast"/>
        <w:jc w:val="center"/>
        <w:rPr>
          <w:rFonts w:ascii="Garamond" w:eastAsia="Times New Roman" w:hAnsi="Garamond" w:cs="Times New Roman"/>
          <w:b/>
          <w:bCs/>
          <w:i/>
          <w:iCs/>
          <w:sz w:val="30"/>
          <w:szCs w:val="30"/>
          <w:lang w:eastAsia="it-IT"/>
        </w:rPr>
      </w:pPr>
      <w:r w:rsidRPr="00147358">
        <w:rPr>
          <w:rFonts w:ascii="Garamond" w:eastAsia="Times New Roman" w:hAnsi="Garamond" w:cs="Times New Roman"/>
          <w:b/>
          <w:bCs/>
          <w:i/>
          <w:iCs/>
          <w:sz w:val="30"/>
          <w:szCs w:val="30"/>
          <w:lang w:eastAsia="it-IT"/>
        </w:rPr>
        <w:t>per l'annullamento</w:t>
      </w:r>
    </w:p>
    <w:p w:rsidR="00147358" w:rsidRPr="00147358" w:rsidRDefault="00147358" w:rsidP="00147358">
      <w:pPr>
        <w:spacing w:after="0" w:line="540" w:lineRule="atLeast"/>
        <w:jc w:val="center"/>
        <w:rPr>
          <w:rFonts w:ascii="Garamond" w:eastAsia="Times New Roman" w:hAnsi="Garamond" w:cs="Times New Roman"/>
          <w:i/>
          <w:iCs/>
          <w:sz w:val="30"/>
          <w:szCs w:val="30"/>
          <w:lang w:eastAsia="it-IT"/>
        </w:rPr>
      </w:pPr>
      <w:r w:rsidRPr="00147358">
        <w:rPr>
          <w:rFonts w:ascii="Garamond" w:eastAsia="Times New Roman" w:hAnsi="Garamond" w:cs="Times New Roman"/>
          <w:i/>
          <w:iCs/>
          <w:sz w:val="30"/>
          <w:szCs w:val="30"/>
          <w:lang w:eastAsia="it-IT"/>
        </w:rPr>
        <w:t>previa sospensione dell'efficacia,</w:t>
      </w:r>
    </w:p>
    <w:p w:rsidR="00147358" w:rsidRPr="00147358" w:rsidRDefault="00147358" w:rsidP="00147358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147358">
        <w:rPr>
          <w:rFonts w:ascii="Garamond" w:eastAsia="Times New Roman" w:hAnsi="Garamond" w:cs="Times New Roman"/>
          <w:sz w:val="30"/>
          <w:szCs w:val="30"/>
          <w:lang w:eastAsia="it-IT"/>
        </w:rPr>
        <w:t>dell’ordinanza n. 1 del 25 febbraio 2020, recante «misure in materia di contenimento e gestione dell’emergenza epidemiologica da COVID-19» con la quale è stata disposto che a partire dalle ore 00.00 di mercoledì 26 febbraio 2020 fino alle ore 24,00 del 4 marzo 2020, sul territorio della Regione Marche è disposta:</w:t>
      </w:r>
    </w:p>
    <w:p w:rsidR="00147358" w:rsidRPr="00147358" w:rsidRDefault="00147358" w:rsidP="00147358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147358">
        <w:rPr>
          <w:rFonts w:ascii="Garamond" w:eastAsia="Times New Roman" w:hAnsi="Garamond" w:cs="Times New Roman"/>
          <w:sz w:val="30"/>
          <w:szCs w:val="30"/>
          <w:lang w:eastAsia="it-IT"/>
        </w:rPr>
        <w:t>a) la sospensione di tutte le manifestazioni pubbliche, di qualsiasi natura;</w:t>
      </w:r>
    </w:p>
    <w:p w:rsidR="00147358" w:rsidRPr="00147358" w:rsidRDefault="00147358" w:rsidP="00147358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147358">
        <w:rPr>
          <w:rFonts w:ascii="Garamond" w:eastAsia="Times New Roman" w:hAnsi="Garamond" w:cs="Times New Roman"/>
          <w:sz w:val="30"/>
          <w:szCs w:val="30"/>
          <w:lang w:eastAsia="it-IT"/>
        </w:rPr>
        <w:lastRenderedPageBreak/>
        <w:t>b) la sospensione dei servizi educativi dell’infanzia e delle scuole di ogni ordine e grado, nonché della frequenza delle attività scolastiche, universitarie (lezioni, esami di profitto e sedute di lauree) e di alta formazione professionale e dei percorsi di istruzione e formazione professionale, salvo le attività formative svolte a distanza e quelle relative alle professioni sanitarie ivi compresi i tirocini;</w:t>
      </w:r>
    </w:p>
    <w:p w:rsidR="00147358" w:rsidRPr="00147358" w:rsidRDefault="00147358" w:rsidP="00147358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147358">
        <w:rPr>
          <w:rFonts w:ascii="Garamond" w:eastAsia="Times New Roman" w:hAnsi="Garamond" w:cs="Times New Roman"/>
          <w:sz w:val="30"/>
          <w:szCs w:val="30"/>
          <w:lang w:eastAsia="it-IT"/>
        </w:rPr>
        <w:t>c) la sospensione di ogni viaggio di istruzione sia sul territorio nazionale sia estero;</w:t>
      </w:r>
    </w:p>
    <w:p w:rsidR="00147358" w:rsidRPr="00147358" w:rsidRDefault="00147358" w:rsidP="00147358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147358">
        <w:rPr>
          <w:rFonts w:ascii="Garamond" w:eastAsia="Times New Roman" w:hAnsi="Garamond" w:cs="Times New Roman"/>
          <w:sz w:val="30"/>
          <w:szCs w:val="30"/>
          <w:lang w:eastAsia="it-IT"/>
        </w:rPr>
        <w:t>d) la sospensione dell’apertura al pubblico dei musei e degli altri istituti e luoghi della cultura e delle biblioteche;</w:t>
      </w:r>
    </w:p>
    <w:p w:rsidR="00147358" w:rsidRPr="00147358" w:rsidRDefault="00147358" w:rsidP="00147358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147358">
        <w:rPr>
          <w:rFonts w:ascii="Garamond" w:eastAsia="Times New Roman" w:hAnsi="Garamond" w:cs="Times New Roman"/>
          <w:sz w:val="30"/>
          <w:szCs w:val="30"/>
          <w:lang w:eastAsia="it-IT"/>
        </w:rPr>
        <w:t>e) la sospensione dei concorsi pubblici fatti salvi quelli relativi alle professioni sanitarie per le quali dovranno essere garantite le opportune misure igieniche.</w:t>
      </w:r>
    </w:p>
    <w:p w:rsidR="00147358" w:rsidRPr="00147358" w:rsidRDefault="00147358" w:rsidP="00147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47358" w:rsidRPr="00147358" w:rsidRDefault="00147358" w:rsidP="00147358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147358">
        <w:rPr>
          <w:rFonts w:ascii="Garamond" w:eastAsia="Times New Roman" w:hAnsi="Garamond" w:cs="Times New Roman"/>
          <w:sz w:val="30"/>
          <w:szCs w:val="30"/>
          <w:lang w:eastAsia="it-IT"/>
        </w:rPr>
        <w:t>Visti il ricorso e i relativi allegati;</w:t>
      </w:r>
    </w:p>
    <w:p w:rsidR="00147358" w:rsidRPr="00147358" w:rsidRDefault="00147358" w:rsidP="00147358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147358">
        <w:rPr>
          <w:rFonts w:ascii="Garamond" w:eastAsia="Times New Roman" w:hAnsi="Garamond" w:cs="Times New Roman"/>
          <w:sz w:val="30"/>
          <w:szCs w:val="30"/>
          <w:lang w:eastAsia="it-IT"/>
        </w:rPr>
        <w:t>Vista l'istanza di misure cautelari monocratiche proposta dal ricorrente, ai sensi dell'art. 56 cod. proc. amm.;</w:t>
      </w:r>
    </w:p>
    <w:p w:rsidR="00147358" w:rsidRPr="00147358" w:rsidRDefault="00147358" w:rsidP="00147358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147358">
        <w:rPr>
          <w:rFonts w:ascii="Garamond" w:eastAsia="Times New Roman" w:hAnsi="Garamond" w:cs="Times New Roman"/>
          <w:sz w:val="30"/>
          <w:szCs w:val="30"/>
          <w:lang w:eastAsia="it-IT"/>
        </w:rPr>
        <w:t>Lette le deduzioni difensive informalmente acquisite dalla Regione Marche;</w:t>
      </w:r>
    </w:p>
    <w:p w:rsidR="00147358" w:rsidRPr="00147358" w:rsidRDefault="00147358" w:rsidP="00147358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147358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Premesso che la funzione dei provvedimenti cautelari interinali di competenza del Presidente non è quella di anticipare gli effetti della tutela cautelare ordinaria, ma quella di prevenire, </w:t>
      </w:r>
      <w:r w:rsidRPr="00147358">
        <w:rPr>
          <w:rFonts w:ascii="Garamond" w:eastAsia="Times New Roman" w:hAnsi="Garamond" w:cs="Times New Roman"/>
          <w:i/>
          <w:iCs/>
          <w:sz w:val="30"/>
          <w:szCs w:val="30"/>
          <w:lang w:eastAsia="it-IT"/>
        </w:rPr>
        <w:t>«in caso di estrema gravità ed urgenza, tale da non consentire neppure la dilazione fino alla camera di consiglio»</w:t>
      </w:r>
      <w:r w:rsidRPr="00147358">
        <w:rPr>
          <w:rFonts w:ascii="Garamond" w:eastAsia="Times New Roman" w:hAnsi="Garamond" w:cs="Times New Roman"/>
          <w:sz w:val="30"/>
          <w:szCs w:val="30"/>
          <w:lang w:eastAsia="it-IT"/>
        </w:rPr>
        <w:t>, il maturarsi di pregiudizi irreversibili a fronte dei quali risulterebbe inutile la concessione di un ordinario provvedimento cautelare collegiale nella camera di consiglio a ciò destinata;</w:t>
      </w:r>
    </w:p>
    <w:p w:rsidR="00147358" w:rsidRPr="00147358" w:rsidRDefault="00147358" w:rsidP="00147358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147358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Considerato che il D.L. 23.2.2020 n. 6 - al fine di contrastare la diffusione del </w:t>
      </w:r>
      <w:r w:rsidRPr="00147358">
        <w:rPr>
          <w:rFonts w:ascii="Garamond" w:eastAsia="Times New Roman" w:hAnsi="Garamond" w:cs="Times New Roman"/>
          <w:i/>
          <w:iCs/>
          <w:sz w:val="30"/>
          <w:szCs w:val="30"/>
          <w:lang w:eastAsia="it-IT"/>
        </w:rPr>
        <w:t>coronavirus</w:t>
      </w:r>
      <w:r w:rsidRPr="00147358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- prevede, al ricorrere di tassativi presupposti, l’assunzione di misure pesantemente incidenti su diversi diritti e libertà costituzionali;</w:t>
      </w:r>
    </w:p>
    <w:p w:rsidR="00147358" w:rsidRPr="00147358" w:rsidRDefault="00147358" w:rsidP="00147358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147358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Rilevato che la ricorrente Presidenza del Consiglio dei Ministri lamenta che la Regione Marche avrebbe emesso l’impugnata ordinanza in assenza del presupposto </w:t>
      </w:r>
      <w:r w:rsidRPr="00147358">
        <w:rPr>
          <w:rFonts w:ascii="Garamond" w:eastAsia="Times New Roman" w:hAnsi="Garamond" w:cs="Times New Roman"/>
          <w:sz w:val="30"/>
          <w:szCs w:val="30"/>
          <w:lang w:eastAsia="it-IT"/>
        </w:rPr>
        <w:lastRenderedPageBreak/>
        <w:t xml:space="preserve">(individuato dall’art. 1, comma 1, del D.L.n. 6 del 2020) che nella zona risulti </w:t>
      </w:r>
      <w:r w:rsidRPr="00147358">
        <w:rPr>
          <w:rFonts w:ascii="Garamond" w:eastAsia="Times New Roman" w:hAnsi="Garamond" w:cs="Times New Roman"/>
          <w:i/>
          <w:iCs/>
          <w:sz w:val="30"/>
          <w:szCs w:val="30"/>
          <w:lang w:eastAsia="it-IT"/>
        </w:rPr>
        <w:t>“positiva almeno una persona”;</w:t>
      </w:r>
    </w:p>
    <w:p w:rsidR="00147358" w:rsidRPr="00147358" w:rsidRDefault="00147358" w:rsidP="00147358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147358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Considerato che la legittimità del provvedimento amministrativo deve essere valutata, in sede giurisdizionale, alla stregua della situazione di fatto e di diritto sussistente al momento della emissione, risultando irrilevanti le sopravvenienze, secondo il principio </w:t>
      </w:r>
      <w:r w:rsidRPr="00147358">
        <w:rPr>
          <w:rFonts w:ascii="Garamond" w:eastAsia="Times New Roman" w:hAnsi="Garamond" w:cs="Times New Roman"/>
          <w:i/>
          <w:iCs/>
          <w:sz w:val="30"/>
          <w:szCs w:val="30"/>
          <w:lang w:eastAsia="it-IT"/>
        </w:rPr>
        <w:t>“tempus regit actum”</w:t>
      </w:r>
      <w:r w:rsidRPr="00147358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(cfr. </w:t>
      </w:r>
      <w:r w:rsidRPr="00147358">
        <w:rPr>
          <w:rFonts w:ascii="Garamond" w:eastAsia="Times New Roman" w:hAnsi="Garamond" w:cs="Times New Roman"/>
          <w:i/>
          <w:iCs/>
          <w:sz w:val="30"/>
          <w:szCs w:val="30"/>
          <w:lang w:eastAsia="it-IT"/>
        </w:rPr>
        <w:t>ex multis</w:t>
      </w:r>
      <w:r w:rsidRPr="00147358">
        <w:rPr>
          <w:rFonts w:ascii="Garamond" w:eastAsia="Times New Roman" w:hAnsi="Garamond" w:cs="Times New Roman"/>
          <w:sz w:val="30"/>
          <w:szCs w:val="30"/>
          <w:lang w:eastAsia="it-IT"/>
        </w:rPr>
        <w:t>: Cons. St. Sez. IV, 30.7.2019, n.5395);</w:t>
      </w:r>
    </w:p>
    <w:p w:rsidR="00147358" w:rsidRPr="00147358" w:rsidRDefault="00147358" w:rsidP="00147358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147358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Rilevato che dall’ordinanza si rileva che non sussistevano, a quel momento, casi accertati di contagio nelle Marche, evidenziando quale presupposto </w:t>
      </w:r>
      <w:r w:rsidRPr="00147358">
        <w:rPr>
          <w:rFonts w:ascii="Garamond" w:eastAsia="Times New Roman" w:hAnsi="Garamond" w:cs="Times New Roman"/>
          <w:i/>
          <w:iCs/>
          <w:sz w:val="30"/>
          <w:szCs w:val="30"/>
          <w:lang w:eastAsia="it-IT"/>
        </w:rPr>
        <w:t>“la prossimità del territorio marchigiano con la regione Emilia Romagna in cui sono stati rilevati casi confermati di contagio da COVID- 19”</w:t>
      </w:r>
      <w:r w:rsidRPr="00147358">
        <w:rPr>
          <w:rFonts w:ascii="Garamond" w:eastAsia="Times New Roman" w:hAnsi="Garamond" w:cs="Times New Roman"/>
          <w:sz w:val="30"/>
          <w:szCs w:val="30"/>
          <w:lang w:eastAsia="it-IT"/>
        </w:rPr>
        <w:t>;</w:t>
      </w:r>
    </w:p>
    <w:p w:rsidR="00147358" w:rsidRPr="00147358" w:rsidRDefault="00147358" w:rsidP="00147358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147358">
        <w:rPr>
          <w:rFonts w:ascii="Garamond" w:eastAsia="Times New Roman" w:hAnsi="Garamond" w:cs="Times New Roman"/>
          <w:sz w:val="30"/>
          <w:szCs w:val="30"/>
          <w:lang w:eastAsia="it-IT"/>
        </w:rPr>
        <w:t>Considerato che – in questa fase di sommaria delibazione in via d’urgenza – la suddetta doglianza risulta fondata;</w:t>
      </w:r>
    </w:p>
    <w:p w:rsidR="00147358" w:rsidRPr="00147358" w:rsidRDefault="00147358" w:rsidP="00147358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147358">
        <w:rPr>
          <w:rFonts w:ascii="Garamond" w:eastAsia="Times New Roman" w:hAnsi="Garamond" w:cs="Times New Roman"/>
          <w:sz w:val="30"/>
          <w:szCs w:val="30"/>
          <w:lang w:eastAsia="it-IT"/>
        </w:rPr>
        <w:t>Ritenuto che anche l’ulteriore censura svolta dalla ricorrente, con la quale si prospetta che la Regione avrebbe erroneamente indicato, a sostegno del potere di ordinanza, la disposizione di cui all’art. 2 del D.L. n. 6 del 2020 - che prevede la possibilità per le autorità competenti di disporre misure “</w:t>
      </w:r>
      <w:r w:rsidRPr="00147358">
        <w:rPr>
          <w:rFonts w:ascii="Garamond" w:eastAsia="Times New Roman" w:hAnsi="Garamond" w:cs="Times New Roman"/>
          <w:i/>
          <w:iCs/>
          <w:sz w:val="30"/>
          <w:szCs w:val="30"/>
          <w:lang w:eastAsia="it-IT"/>
        </w:rPr>
        <w:t>ulteriori</w:t>
      </w:r>
      <w:r w:rsidRPr="00147358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”, al di fuori dei casi di cui all’art. 1 comma 1 (ossia anche in assenza del riscontro di almeno una persona positiva) - pare assistita dal </w:t>
      </w:r>
      <w:r w:rsidRPr="00147358">
        <w:rPr>
          <w:rFonts w:ascii="Garamond" w:eastAsia="Times New Roman" w:hAnsi="Garamond" w:cs="Times New Roman"/>
          <w:i/>
          <w:iCs/>
          <w:sz w:val="30"/>
          <w:szCs w:val="30"/>
          <w:lang w:eastAsia="it-IT"/>
        </w:rPr>
        <w:t>fumus boni iuris</w:t>
      </w:r>
      <w:r w:rsidRPr="00147358">
        <w:rPr>
          <w:rFonts w:ascii="Garamond" w:eastAsia="Times New Roman" w:hAnsi="Garamond" w:cs="Times New Roman"/>
          <w:sz w:val="30"/>
          <w:szCs w:val="30"/>
          <w:lang w:eastAsia="it-IT"/>
        </w:rPr>
        <w:t>, atteso che tali misure non possono essere altrettanto invasive, sia per intensità sia per latitudine, rispetto a quelle giustificate dalla presenza di un focolaio di infezione; in altri termini, la possibilità di adottare misure “</w:t>
      </w:r>
      <w:r w:rsidRPr="00147358">
        <w:rPr>
          <w:rFonts w:ascii="Garamond" w:eastAsia="Times New Roman" w:hAnsi="Garamond" w:cs="Times New Roman"/>
          <w:i/>
          <w:iCs/>
          <w:sz w:val="30"/>
          <w:szCs w:val="30"/>
          <w:lang w:eastAsia="it-IT"/>
        </w:rPr>
        <w:t>ulteriori</w:t>
      </w:r>
      <w:r w:rsidRPr="00147358">
        <w:rPr>
          <w:rFonts w:ascii="Garamond" w:eastAsia="Times New Roman" w:hAnsi="Garamond" w:cs="Times New Roman"/>
          <w:sz w:val="30"/>
          <w:szCs w:val="30"/>
          <w:lang w:eastAsia="it-IT"/>
        </w:rPr>
        <w:t>” va, in via sistematica, riferita ad interventi che comportino un sacrificio minore delle libertà individuali, rispetto a quelli previsti dall’art. 1 del cit. D.L. n. 6;</w:t>
      </w:r>
    </w:p>
    <w:p w:rsidR="00147358" w:rsidRPr="00147358" w:rsidRDefault="00147358" w:rsidP="00147358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147358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Ritenuto che sussista altresì il presupposto dell’estrema gravità ed urgenza richiesto dall’art. 56 c.p.a, per concedere la tutela monocratica urgente, considerato che il provvedimento impugnato esaurisce i suoi irreversibili effetti il 4 marzo; fermo </w:t>
      </w:r>
      <w:r w:rsidRPr="00147358">
        <w:rPr>
          <w:rFonts w:ascii="Garamond" w:eastAsia="Times New Roman" w:hAnsi="Garamond" w:cs="Times New Roman"/>
          <w:sz w:val="30"/>
          <w:szCs w:val="30"/>
          <w:lang w:eastAsia="it-IT"/>
        </w:rPr>
        <w:lastRenderedPageBreak/>
        <w:t>restando che, al mutare della situazione di fatto, consegue la possibilità, per il Governo e per la Regione, di emettere i provvedimenti consentiti dal cit. D.L. n. 6 del 2020;</w:t>
      </w:r>
    </w:p>
    <w:p w:rsidR="00147358" w:rsidRPr="00147358" w:rsidRDefault="00147358" w:rsidP="00147358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147358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Considerato che l’eventuale differente trattamento riservato dal Governo - in condizioni asseritamente eguali a quelle della Regione Marche - alla Regione Liguria, sul quale si sofferma lo scritto difensivo regionale (senza che tale circostanza risulti però evocata dal provvedimento impugnato) ha valenza politica ma non giuridica e non può comunque </w:t>
      </w:r>
      <w:r w:rsidRPr="00147358">
        <w:rPr>
          <w:rFonts w:ascii="Garamond" w:eastAsia="Times New Roman" w:hAnsi="Garamond" w:cs="Times New Roman"/>
          <w:i/>
          <w:iCs/>
          <w:sz w:val="30"/>
          <w:szCs w:val="30"/>
          <w:lang w:eastAsia="it-IT"/>
        </w:rPr>
        <w:t>ex se</w:t>
      </w:r>
      <w:r w:rsidRPr="00147358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giustificare l’esercizio del potere;</w:t>
      </w:r>
    </w:p>
    <w:p w:rsidR="00147358" w:rsidRPr="00147358" w:rsidRDefault="00147358" w:rsidP="00147358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147358">
        <w:rPr>
          <w:rFonts w:ascii="Garamond" w:eastAsia="Times New Roman" w:hAnsi="Garamond" w:cs="Times New Roman"/>
          <w:sz w:val="30"/>
          <w:szCs w:val="30"/>
          <w:lang w:eastAsia="it-IT"/>
        </w:rPr>
        <w:t>Attesa l’urgenza connessa alle situazioni oggetto del provvedimento impugnato, alla rilevanza degli interessi in competizione e considerato che appare possibile una permanenza della situazione di criticità sanitaria anche oltre la data di scadenza dell’ordinanza qui impugnata, si reputa opportuno fissare per la trattazione collegiale - in deroga ai termini di cui all’art. 55 c.p.a. - la camera di consiglio del 4 marzo 2020, avendo acquisito informalmente il consenso al riguardo delle parti;</w:t>
      </w:r>
    </w:p>
    <w:p w:rsidR="00147358" w:rsidRPr="00147358" w:rsidRDefault="00147358" w:rsidP="00147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47358" w:rsidRPr="00147358" w:rsidRDefault="00147358" w:rsidP="00147358">
      <w:pPr>
        <w:spacing w:after="0" w:line="540" w:lineRule="atLeast"/>
        <w:jc w:val="center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147358">
        <w:rPr>
          <w:rFonts w:ascii="Garamond" w:eastAsia="Times New Roman" w:hAnsi="Garamond" w:cs="Times New Roman"/>
          <w:sz w:val="30"/>
          <w:szCs w:val="30"/>
          <w:lang w:eastAsia="it-IT"/>
        </w:rPr>
        <w:t>P.Q.M.</w:t>
      </w:r>
    </w:p>
    <w:p w:rsidR="00147358" w:rsidRPr="00147358" w:rsidRDefault="00147358" w:rsidP="00147358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147358">
        <w:rPr>
          <w:rFonts w:ascii="Garamond" w:eastAsia="Times New Roman" w:hAnsi="Garamond" w:cs="Times New Roman"/>
          <w:sz w:val="30"/>
          <w:szCs w:val="30"/>
          <w:lang w:eastAsia="it-IT"/>
        </w:rPr>
        <w:t>Accoglie l’istanza cautelare e sospende gli effetti del provvedimento impugnato.</w:t>
      </w:r>
    </w:p>
    <w:p w:rsidR="00147358" w:rsidRPr="00147358" w:rsidRDefault="00147358" w:rsidP="00147358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147358">
        <w:rPr>
          <w:rFonts w:ascii="Garamond" w:eastAsia="Times New Roman" w:hAnsi="Garamond" w:cs="Times New Roman"/>
          <w:sz w:val="30"/>
          <w:szCs w:val="30"/>
          <w:lang w:eastAsia="it-IT"/>
        </w:rPr>
        <w:t>Fissa per la trattazione collegiale la camera di consiglio del 4.3.2020.</w:t>
      </w:r>
    </w:p>
    <w:p w:rsidR="00147358" w:rsidRPr="00147358" w:rsidRDefault="00147358" w:rsidP="00147358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147358">
        <w:rPr>
          <w:rFonts w:ascii="Garamond" w:eastAsia="Times New Roman" w:hAnsi="Garamond" w:cs="Times New Roman"/>
          <w:sz w:val="30"/>
          <w:szCs w:val="30"/>
          <w:lang w:eastAsia="it-IT"/>
        </w:rPr>
        <w:t>Il presente decreto sarà eseguito dall'Amministrazione ed è depositato presso la Segreteria del Tribunale che provvederà a darne comunicazione alle parti.</w:t>
      </w:r>
    </w:p>
    <w:p w:rsidR="00147358" w:rsidRPr="00147358" w:rsidRDefault="00147358" w:rsidP="00147358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147358">
        <w:rPr>
          <w:rFonts w:ascii="Garamond" w:eastAsia="Times New Roman" w:hAnsi="Garamond" w:cs="Times New Roman"/>
          <w:sz w:val="30"/>
          <w:szCs w:val="30"/>
          <w:lang w:eastAsia="it-IT"/>
        </w:rPr>
        <w:t>Così deciso in Ancona il giorno 27 febbraio 2020.</w:t>
      </w:r>
    </w:p>
    <w:p w:rsidR="00147358" w:rsidRPr="00147358" w:rsidRDefault="00147358" w:rsidP="001473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735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4735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4735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1"/>
        <w:gridCol w:w="4367"/>
      </w:tblGrid>
      <w:tr w:rsidR="00147358" w:rsidRPr="00147358" w:rsidTr="00147358">
        <w:trPr>
          <w:tblCellSpacing w:w="7" w:type="dxa"/>
        </w:trPr>
        <w:tc>
          <w:tcPr>
            <w:tcW w:w="5250" w:type="dxa"/>
            <w:vAlign w:val="center"/>
            <w:hideMark/>
          </w:tcPr>
          <w:p w:rsidR="00147358" w:rsidRPr="00147358" w:rsidRDefault="00147358" w:rsidP="0014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1473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7358" w:rsidRPr="00147358" w:rsidRDefault="00147358" w:rsidP="0014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1473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Il Presidente</w:t>
            </w:r>
          </w:p>
        </w:tc>
      </w:tr>
      <w:tr w:rsidR="00147358" w:rsidRPr="00147358" w:rsidTr="00147358">
        <w:trPr>
          <w:tblCellSpacing w:w="7" w:type="dxa"/>
        </w:trPr>
        <w:tc>
          <w:tcPr>
            <w:tcW w:w="5250" w:type="dxa"/>
            <w:vAlign w:val="center"/>
            <w:hideMark/>
          </w:tcPr>
          <w:p w:rsidR="00147358" w:rsidRPr="00147358" w:rsidRDefault="00147358" w:rsidP="0014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1473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7358" w:rsidRPr="00147358" w:rsidRDefault="00147358" w:rsidP="0014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1473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Sergio Conti</w:t>
            </w:r>
          </w:p>
        </w:tc>
      </w:tr>
    </w:tbl>
    <w:p w:rsidR="00147358" w:rsidRPr="00147358" w:rsidRDefault="00147358" w:rsidP="001473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735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4735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4735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147358" w:rsidRPr="00147358" w:rsidRDefault="00147358" w:rsidP="00147358">
      <w:pPr>
        <w:spacing w:after="0" w:line="540" w:lineRule="atLeast"/>
        <w:jc w:val="center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147358">
        <w:rPr>
          <w:rFonts w:ascii="Garamond" w:eastAsia="Times New Roman" w:hAnsi="Garamond" w:cs="Times New Roman"/>
          <w:sz w:val="30"/>
          <w:szCs w:val="30"/>
          <w:lang w:eastAsia="it-IT"/>
        </w:rPr>
        <w:lastRenderedPageBreak/>
        <w:t>IL SEGRETARIO</w:t>
      </w:r>
    </w:p>
    <w:p w:rsidR="006D7850" w:rsidRDefault="006D7850"/>
    <w:sectPr w:rsidR="006D78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ordic">
    <w:altName w:val="Times New Roman"/>
    <w:charset w:val="00"/>
    <w:family w:val="roman"/>
    <w:notTrueType/>
    <w:pitch w:val="default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358"/>
    <w:rsid w:val="00147358"/>
    <w:rsid w:val="001E19A2"/>
    <w:rsid w:val="004A1F3A"/>
    <w:rsid w:val="00566DFF"/>
    <w:rsid w:val="00605003"/>
    <w:rsid w:val="006D7850"/>
    <w:rsid w:val="0097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2001A-8231-40A9-B4EA-0D31E532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egistri">
    <w:name w:val="registri"/>
    <w:basedOn w:val="Normale"/>
    <w:rsid w:val="00147358"/>
    <w:pPr>
      <w:spacing w:before="100" w:beforeAutospacing="1" w:after="100" w:afterAutospacing="1" w:line="0" w:lineRule="atLeast"/>
      <w:jc w:val="right"/>
    </w:pPr>
    <w:rPr>
      <w:rFonts w:ascii="Times Nordic" w:eastAsia="Times New Roman" w:hAnsi="Times Nordic" w:cs="Times New Roman"/>
      <w:b/>
      <w:bCs/>
      <w:lang w:eastAsia="it-IT"/>
    </w:rPr>
  </w:style>
  <w:style w:type="paragraph" w:customStyle="1" w:styleId="repubblica">
    <w:name w:val="repubblica"/>
    <w:basedOn w:val="Normale"/>
    <w:rsid w:val="00147358"/>
    <w:pP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color w:val="000000"/>
      <w:spacing w:val="150"/>
      <w:sz w:val="24"/>
      <w:szCs w:val="24"/>
      <w:lang w:eastAsia="it-IT"/>
    </w:rPr>
  </w:style>
  <w:style w:type="paragraph" w:customStyle="1" w:styleId="popolo">
    <w:name w:val="popolo"/>
    <w:basedOn w:val="Normale"/>
    <w:rsid w:val="00147358"/>
    <w:pPr>
      <w:spacing w:after="0" w:line="520" w:lineRule="atLeast"/>
      <w:jc w:val="both"/>
    </w:pPr>
    <w:rPr>
      <w:rFonts w:ascii="Garamond" w:eastAsia="Times New Roman" w:hAnsi="Garamond" w:cs="Times New Roman"/>
      <w:sz w:val="30"/>
      <w:szCs w:val="30"/>
      <w:lang w:eastAsia="it-IT"/>
    </w:rPr>
  </w:style>
  <w:style w:type="paragraph" w:customStyle="1" w:styleId="sezione">
    <w:name w:val="sezione"/>
    <w:basedOn w:val="Normale"/>
    <w:rsid w:val="00147358"/>
    <w:pP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color w:val="000000"/>
      <w:sz w:val="26"/>
      <w:szCs w:val="26"/>
      <w:lang w:eastAsia="it-IT"/>
    </w:rPr>
  </w:style>
  <w:style w:type="paragraph" w:customStyle="1" w:styleId="contro">
    <w:name w:val="contro"/>
    <w:basedOn w:val="Normale"/>
    <w:rsid w:val="00147358"/>
    <w:pPr>
      <w:spacing w:after="0" w:line="520" w:lineRule="atLeast"/>
      <w:jc w:val="center"/>
    </w:pPr>
    <w:rPr>
      <w:rFonts w:ascii="Garamond" w:eastAsia="Times New Roman" w:hAnsi="Garamond" w:cs="Times New Roman"/>
      <w:b/>
      <w:bCs/>
      <w:i/>
      <w:iCs/>
      <w:sz w:val="30"/>
      <w:szCs w:val="30"/>
      <w:lang w:eastAsia="it-IT"/>
    </w:rPr>
  </w:style>
  <w:style w:type="paragraph" w:customStyle="1" w:styleId="tabula">
    <w:name w:val="tabula"/>
    <w:basedOn w:val="Normale"/>
    <w:rsid w:val="00147358"/>
    <w:pPr>
      <w:spacing w:after="0" w:line="520" w:lineRule="atLeast"/>
      <w:ind w:firstLine="567"/>
    </w:pPr>
    <w:rPr>
      <w:rFonts w:ascii="Garamond" w:eastAsia="Times New Roman" w:hAnsi="Garamond" w:cs="Times New Roman"/>
      <w:sz w:val="30"/>
      <w:szCs w:val="30"/>
      <w:lang w:eastAsia="it-IT"/>
    </w:rPr>
  </w:style>
  <w:style w:type="paragraph" w:customStyle="1" w:styleId="fatto">
    <w:name w:val="fatto"/>
    <w:basedOn w:val="Normale"/>
    <w:rsid w:val="00147358"/>
    <w:pPr>
      <w:spacing w:after="0" w:line="540" w:lineRule="atLeast"/>
      <w:jc w:val="center"/>
    </w:pPr>
    <w:rPr>
      <w:rFonts w:ascii="Garamond" w:eastAsia="Times New Roman" w:hAnsi="Garamond" w:cs="Times New Roman"/>
      <w:sz w:val="30"/>
      <w:szCs w:val="30"/>
      <w:lang w:eastAsia="it-IT"/>
    </w:rPr>
  </w:style>
  <w:style w:type="paragraph" w:customStyle="1" w:styleId="previa">
    <w:name w:val="previa"/>
    <w:basedOn w:val="Normale"/>
    <w:rsid w:val="00147358"/>
    <w:pPr>
      <w:spacing w:after="0" w:line="540" w:lineRule="atLeast"/>
      <w:jc w:val="center"/>
    </w:pPr>
    <w:rPr>
      <w:rFonts w:ascii="Garamond" w:eastAsia="Times New Roman" w:hAnsi="Garamond" w:cs="Times New Roman"/>
      <w:i/>
      <w:iCs/>
      <w:sz w:val="30"/>
      <w:szCs w:val="3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3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VELTRI Giulio</dc:creator>
  <cp:keywords/>
  <dc:description/>
  <cp:lastModifiedBy>VELTRI Giulio</cp:lastModifiedBy>
  <cp:revision>2</cp:revision>
  <dcterms:created xsi:type="dcterms:W3CDTF">2020-02-27T16:05:00Z</dcterms:created>
  <dcterms:modified xsi:type="dcterms:W3CDTF">2020-02-27T16:05:00Z</dcterms:modified>
</cp:coreProperties>
</file>